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30" w:rsidRDefault="00F94C30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                                    </w:t>
      </w:r>
      <w:r>
        <w:rPr>
          <w:rFonts w:ascii="Helvetica" w:eastAsia="Times New Roman" w:hAnsi="Helvetica" w:cs="Helvetica"/>
          <w:color w:val="000000"/>
          <w:sz w:val="20"/>
          <w:szCs w:val="20"/>
          <w:lang w:val="bg-BG"/>
        </w:rPr>
        <w:t xml:space="preserve">  </w:t>
      </w:r>
      <w:r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ПУБЛИКАЦИИ ПО ПРОЦЕДУРАТА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</w:p>
    <w:p w:rsidR="00F94C30" w:rsidRDefault="00F94C30" w:rsidP="00F94C30">
      <w:pPr>
        <w:shd w:val="clear" w:color="auto" w:fill="FFFFFF"/>
        <w:spacing w:after="0" w:line="288" w:lineRule="atLeast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F94C30" w:rsidRPr="006937DA" w:rsidRDefault="006937DA" w:rsidP="006937DA">
      <w:pPr>
        <w:pStyle w:val="ListParagraph"/>
        <w:numPr>
          <w:ilvl w:val="0"/>
          <w:numId w:val="4"/>
        </w:num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6937DA">
        <w:rPr>
          <w:rFonts w:ascii="Helvetica" w:eastAsia="Times New Roman" w:hAnsi="Helvetica" w:cs="Helvetica"/>
          <w:color w:val="000000"/>
          <w:sz w:val="20"/>
          <w:szCs w:val="20"/>
        </w:rPr>
        <w:t xml:space="preserve">P.V. </w:t>
      </w:r>
      <w:proofErr w:type="spellStart"/>
      <w:proofErr w:type="gramStart"/>
      <w:r w:rsidRPr="006937DA">
        <w:rPr>
          <w:rFonts w:ascii="Helvetica" w:eastAsia="Times New Roman" w:hAnsi="Helvetica" w:cs="Helvetica"/>
          <w:color w:val="000000"/>
          <w:sz w:val="20"/>
          <w:szCs w:val="20"/>
        </w:rPr>
        <w:t>Danchev</w:t>
      </w:r>
      <w:proofErr w:type="spellEnd"/>
      <w:r w:rsidRPr="006937DA">
        <w:rPr>
          <w:rFonts w:ascii="Helvetica" w:eastAsia="Times New Roman" w:hAnsi="Helvetica" w:cs="Helvetica"/>
          <w:color w:val="000000"/>
          <w:sz w:val="20"/>
          <w:szCs w:val="20"/>
        </w:rPr>
        <w:t>,</w:t>
      </w:r>
      <w:proofErr w:type="gramEnd"/>
      <w:r w:rsidR="00F94C30" w:rsidRPr="006937DA"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r w:rsidR="00F94C30" w:rsidRPr="006937DA">
        <w:rPr>
          <w:rFonts w:ascii="Helvetica" w:eastAsia="Times New Roman" w:hAnsi="Helvetica" w:cs="Helvetica"/>
          <w:i/>
          <w:color w:val="000000"/>
          <w:sz w:val="20"/>
          <w:szCs w:val="20"/>
        </w:rPr>
        <w:t xml:space="preserve">Rings whose elements are sums of three or differences of two commuting </w:t>
      </w:r>
      <w:proofErr w:type="spellStart"/>
      <w:r w:rsidR="00F94C30" w:rsidRPr="006937DA">
        <w:rPr>
          <w:rFonts w:ascii="Helvetica" w:eastAsia="Times New Roman" w:hAnsi="Helvetica" w:cs="Helvetica"/>
          <w:i/>
          <w:color w:val="000000"/>
          <w:sz w:val="20"/>
          <w:szCs w:val="20"/>
        </w:rPr>
        <w:t>idempotents</w:t>
      </w:r>
      <w:proofErr w:type="spellEnd"/>
      <w:r w:rsidR="00F94C30" w:rsidRPr="006937DA">
        <w:rPr>
          <w:rFonts w:ascii="Helvetica" w:eastAsia="Times New Roman" w:hAnsi="Helvetica" w:cs="Helvetica"/>
          <w:color w:val="000000"/>
          <w:sz w:val="20"/>
          <w:szCs w:val="20"/>
        </w:rPr>
        <w:t xml:space="preserve">, Bull. Iran. Math. Soc. </w:t>
      </w:r>
      <w:r w:rsidR="00F94C30" w:rsidRPr="006937DA">
        <w:rPr>
          <w:rFonts w:ascii="Helvetica" w:eastAsia="Times New Roman" w:hAnsi="Helvetica" w:cs="Helvetica"/>
          <w:b/>
          <w:color w:val="000000"/>
          <w:sz w:val="20"/>
          <w:szCs w:val="20"/>
        </w:rPr>
        <w:t>44</w:t>
      </w:r>
      <w:r w:rsidR="00F94C30" w:rsidRPr="006937DA">
        <w:rPr>
          <w:rFonts w:ascii="Helvetica" w:eastAsia="Times New Roman" w:hAnsi="Helvetica" w:cs="Helvetica"/>
          <w:color w:val="000000"/>
          <w:sz w:val="20"/>
          <w:szCs w:val="20"/>
        </w:rPr>
        <w:t>(6) (2018), 1641-1651 -- IF: 0.280 (Q4). </w:t>
      </w:r>
    </w:p>
    <w:p w:rsidR="00F94C30" w:rsidRPr="00F94C30" w:rsidRDefault="00F94C30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F94C30" w:rsidRPr="00F94C30" w:rsidRDefault="006937DA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     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(2) 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P.V.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  <w:sz w:val="20"/>
          <w:szCs w:val="20"/>
        </w:rPr>
        <w:t>Danchev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</w:rPr>
        <w:t>,</w:t>
      </w:r>
      <w:proofErr w:type="gramEnd"/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 xml:space="preserve">Rings whose elements are sums or minus sums of two commuting </w:t>
      </w:r>
      <w:proofErr w:type="spellStart"/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>idempotents</w:t>
      </w:r>
      <w:proofErr w:type="spellEnd"/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, Bol. Un. Mat. Ital. </w:t>
      </w:r>
      <w:r w:rsidR="00F94C30" w:rsidRPr="00F94C30">
        <w:rPr>
          <w:rFonts w:ascii="Helvetica" w:eastAsia="Times New Roman" w:hAnsi="Helvetica" w:cs="Helvetica"/>
          <w:b/>
          <w:color w:val="000000"/>
          <w:sz w:val="20"/>
          <w:szCs w:val="20"/>
        </w:rPr>
        <w:t>12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>(1) (2019) -- SJR: 0.676.</w:t>
      </w:r>
    </w:p>
    <w:p w:rsidR="00F94C30" w:rsidRPr="00F94C30" w:rsidRDefault="00F94C30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F94C30" w:rsidRPr="00F94C30" w:rsidRDefault="006937DA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     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(3) 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P.V.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  <w:sz w:val="20"/>
          <w:szCs w:val="20"/>
        </w:rPr>
        <w:t>Danchev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</w:rPr>
        <w:t>,</w:t>
      </w:r>
      <w:proofErr w:type="gramEnd"/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 xml:space="preserve">Rings whose elements are sums of three or minus sums of two commuting </w:t>
      </w:r>
      <w:proofErr w:type="spellStart"/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>idempotents</w:t>
      </w:r>
      <w:proofErr w:type="spellEnd"/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, Alban. J. Math. </w:t>
      </w:r>
      <w:r w:rsidR="00F94C30" w:rsidRPr="00F94C30">
        <w:rPr>
          <w:rFonts w:ascii="Helvetica" w:eastAsia="Times New Roman" w:hAnsi="Helvetica" w:cs="Helvetica"/>
          <w:b/>
          <w:color w:val="000000"/>
          <w:sz w:val="20"/>
          <w:szCs w:val="20"/>
        </w:rPr>
        <w:t>12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>(1) (2018), 3-7.</w:t>
      </w:r>
    </w:p>
    <w:p w:rsidR="00F94C30" w:rsidRPr="00F94C30" w:rsidRDefault="00F94C30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F94C30" w:rsidRPr="00F94C30" w:rsidRDefault="006937DA" w:rsidP="00F94C30">
      <w:pPr>
        <w:shd w:val="clear" w:color="auto" w:fill="FFFFFF"/>
        <w:spacing w:after="0" w:line="288" w:lineRule="atLeast"/>
        <w:jc w:val="both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     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(4) 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P.V.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  <w:sz w:val="20"/>
          <w:szCs w:val="20"/>
        </w:rPr>
        <w:t>Danchev</w:t>
      </w:r>
      <w:proofErr w:type="spellEnd"/>
      <w:r>
        <w:rPr>
          <w:rFonts w:ascii="Helvetica" w:eastAsia="Times New Roman" w:hAnsi="Helvetica" w:cs="Helvetica"/>
          <w:color w:val="000000"/>
          <w:sz w:val="20"/>
          <w:szCs w:val="20"/>
        </w:rPr>
        <w:t>,</w:t>
      </w:r>
      <w:proofErr w:type="gramEnd"/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 xml:space="preserve">Rings whose elements are represented by at most three commuting </w:t>
      </w:r>
      <w:proofErr w:type="spellStart"/>
      <w:r w:rsidR="00F94C30" w:rsidRPr="00F94C30">
        <w:rPr>
          <w:rFonts w:ascii="Helvetica" w:eastAsia="Times New Roman" w:hAnsi="Helvetica" w:cs="Helvetica"/>
          <w:i/>
          <w:color w:val="000000"/>
          <w:sz w:val="20"/>
          <w:szCs w:val="20"/>
        </w:rPr>
        <w:t>idempotents</w:t>
      </w:r>
      <w:proofErr w:type="spellEnd"/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 xml:space="preserve">, Gulf J. Math. </w:t>
      </w:r>
      <w:r w:rsidR="00F94C30" w:rsidRPr="00F94C30">
        <w:rPr>
          <w:rFonts w:ascii="Helvetica" w:eastAsia="Times New Roman" w:hAnsi="Helvetica" w:cs="Helvetica"/>
          <w:b/>
          <w:color w:val="000000"/>
          <w:sz w:val="20"/>
          <w:szCs w:val="20"/>
        </w:rPr>
        <w:t>6</w:t>
      </w:r>
      <w:r w:rsidR="00F94C30" w:rsidRPr="00F94C30">
        <w:rPr>
          <w:rFonts w:ascii="Helvetica" w:eastAsia="Times New Roman" w:hAnsi="Helvetica" w:cs="Helvetica"/>
          <w:color w:val="000000"/>
          <w:sz w:val="20"/>
          <w:szCs w:val="20"/>
        </w:rPr>
        <w:t>(2) (2018), 1-6.</w:t>
      </w:r>
    </w:p>
    <w:p w:rsidR="00A105D5" w:rsidRDefault="00A105D5" w:rsidP="00F94C30">
      <w:pPr>
        <w:jc w:val="both"/>
      </w:pPr>
    </w:p>
    <w:p w:rsidR="00F94C30" w:rsidRDefault="00F94C30" w:rsidP="00F94C30">
      <w:pPr>
        <w:jc w:val="both"/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 xml:space="preserve">                                       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НАУЧНИ ПРИНОСИ НА ПУБЛИКАЦИИТЕ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Добре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известна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алгебричната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литература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дефиницията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булев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 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който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всеки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притежават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структурна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характеризация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поддиректни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произведения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копия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полето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Z_2.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частност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винаги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естествено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обобщение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понятие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японските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математици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Хирано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и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Томинага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разглеждат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[HT]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такива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които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всеки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Там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доказано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удовлетворяват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кубичното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уравнение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x^3 = x.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.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Дори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нещо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повече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-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поддиректно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произведение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копия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полетата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Z_2 и Z_3.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твърде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естествен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начин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възниква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въпросът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относно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каква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структурата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които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всеки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три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успешно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изяснено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две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независими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публикации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а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именно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[TZS]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Танг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Жоу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и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и в [D1]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Данчев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.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Оказва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отново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тук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вече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появява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и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неразложимият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Z_4.  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Дори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нещо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повече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-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статията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Данчев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описват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с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точност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изоморфизъм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които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всеки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или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три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или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разлика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Твърде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куриозно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оказват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а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тяхната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изоморфна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класификация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получена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и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изложена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там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пълнота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Полученият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целта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резултат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обобщава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съответната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основна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теорема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получена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Юнг-Кошан-Жоу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[YKZ],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където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разглежданите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имат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представени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или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разлика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Новото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полето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 Z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_5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удовлетворява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по-общите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условия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поставени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[D1].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lastRenderedPageBreak/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друга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страна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в [D2]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значително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разширяват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постигнатите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основни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резултати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[HT],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целта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изследват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такива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чиито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или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или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минус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Отново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сюрпризиращото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получаваме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дадената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пълна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характеризация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тяхната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структура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тук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още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веднъж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появяват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Z_4 и Z_5.</w:t>
      </w:r>
      <w:proofErr w:type="gramEnd"/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Някои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други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по-нататъшни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обобщения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и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разновидности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преставянето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елементи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целочислена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линейна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комбинация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идемпотенти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също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разгледани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съответно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[D3] и [D4].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 xml:space="preserve">В </w:t>
      </w:r>
      <w:proofErr w:type="spellStart"/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резюме</w:t>
      </w:r>
      <w:proofErr w:type="spellEnd"/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: 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изложеното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по-горе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ясно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личи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научните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приноси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статиите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 [D1], [D2], [D3] и [D4]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състоят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тях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напълно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дадена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характеризацията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(с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точност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изоморфизъм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)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значително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много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по-широки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класове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пръстени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отколкото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известните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досвга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световната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литература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направление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. </w:t>
      </w:r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частност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получават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като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тривиални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следствия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някои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гореизложените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класически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резултати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тази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тематика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в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комутативната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алгебра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поражда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повдигането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хипотезата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че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всеки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пръстен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,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чиито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елементи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са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сума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на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фиксиран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брой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от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комутиращи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помежду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си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идемпотенти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, е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задължително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винаги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комутативен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.</w:t>
      </w:r>
      <w:proofErr w:type="gram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Това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 </w:t>
      </w:r>
      <w:proofErr w:type="spellStart"/>
      <w:r w:rsidR="006937DA">
        <w:rPr>
          <w:rFonts w:ascii="Calibri" w:eastAsia="Times New Roman" w:hAnsi="Calibri" w:cs="Segoe UI"/>
          <w:color w:val="000000"/>
          <w:sz w:val="24"/>
          <w:szCs w:val="24"/>
        </w:rPr>
        <w:t>твърдение</w:t>
      </w:r>
      <w:proofErr w:type="spellEnd"/>
      <w:r w:rsidR="006937DA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="006937DA">
        <w:rPr>
          <w:rFonts w:ascii="Calibri" w:eastAsia="Times New Roman" w:hAnsi="Calibri" w:cs="Segoe UI"/>
          <w:color w:val="000000"/>
          <w:sz w:val="24"/>
          <w:szCs w:val="24"/>
        </w:rPr>
        <w:t>понастоящем</w:t>
      </w:r>
      <w:proofErr w:type="spellEnd"/>
      <w:r w:rsidR="006937DA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="006937DA">
        <w:rPr>
          <w:rFonts w:ascii="Calibri" w:eastAsia="Times New Roman" w:hAnsi="Calibri" w:cs="Segoe UI"/>
          <w:color w:val="000000"/>
          <w:sz w:val="24"/>
          <w:szCs w:val="24"/>
        </w:rPr>
        <w:t>все</w:t>
      </w:r>
      <w:proofErr w:type="spellEnd"/>
      <w:r w:rsidR="006937DA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още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не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е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доказано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! 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b/>
          <w:bCs/>
          <w:color w:val="000000"/>
          <w:sz w:val="27"/>
          <w:szCs w:val="27"/>
        </w:rPr>
        <w:t>ЦИТИРАНА ЛИТЕРАТУРА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[D1] P.V.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Danchev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Rings whose elements are sums of three or differences of two commuting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, Bull. Iran. </w:t>
      </w:r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Math.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Soc.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44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(6) (2018), 1641-1651 -- IF: 0.280 (Q4). 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[D2] P.V.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Danchev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Rings whose elements are sums or minus sums of two commuting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 Bol. Un. Mat. Ital.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12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(1) (2019) -- SJR: 0.676.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[D3] P.V.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Danchev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</w:t>
      </w:r>
      <w:proofErr w:type="gram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 Rings whose elements are sums of three or minus sums of two commuting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 Alban. J. Math.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12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(1) (2018), 3-7.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[D4] P.V. </w:t>
      </w:r>
      <w:proofErr w:type="spellStart"/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Danchev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Rings whose elements are represented by at most three commuting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 Gulf J. Math.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6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(2) (2018), 1-6.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[HT]  Y. Hirano and H. </w:t>
      </w:r>
      <w:proofErr w:type="spell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Tominaga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Rings in which every element is the sum of two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,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 Bull. </w:t>
      </w:r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Austral.</w:t>
      </w:r>
      <w:proofErr w:type="gramEnd"/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gramStart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Math.</w:t>
      </w:r>
      <w:proofErr w:type="gram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 xml:space="preserve"> Soc.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37 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(2018), 161–164.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[TZS] G. Tang, Y. Zhou and H. Su,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Matrices over a commutative ring as sums of three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idempotents</w:t>
      </w:r>
      <w:proofErr w:type="spell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 or three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proofErr w:type="gram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lastRenderedPageBreak/>
        <w:t>involutions</w:t>
      </w:r>
      <w:proofErr w:type="gramEnd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,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 Linear and Multilinear Algebra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67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(2) (2019), 267-277.</w:t>
      </w: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</w:p>
    <w:p w:rsidR="00F94C30" w:rsidRPr="00F94C30" w:rsidRDefault="00F94C30" w:rsidP="00F94C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</w:rPr>
      </w:pP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[YKZ] Z. Ying, T. Kosan and Y. Zhou, </w:t>
      </w:r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 xml:space="preserve">Rings in which every element is a sum of two </w:t>
      </w:r>
      <w:proofErr w:type="spellStart"/>
      <w:r w:rsidRPr="00F94C30">
        <w:rPr>
          <w:rFonts w:ascii="Calibri" w:eastAsia="Times New Roman" w:hAnsi="Calibri" w:cs="Segoe UI"/>
          <w:i/>
          <w:iCs/>
          <w:color w:val="000000"/>
          <w:sz w:val="24"/>
          <w:szCs w:val="24"/>
        </w:rPr>
        <w:t>tripotents</w:t>
      </w:r>
      <w:proofErr w:type="spellEnd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, Can. Math.</w:t>
      </w:r>
      <w:r w:rsidR="006937DA">
        <w:rPr>
          <w:rFonts w:ascii="Calibri" w:eastAsia="Times New Roman" w:hAnsi="Calibri" w:cs="Segoe UI"/>
          <w:color w:val="000000"/>
          <w:sz w:val="24"/>
          <w:szCs w:val="24"/>
        </w:rPr>
        <w:t xml:space="preserve"> </w:t>
      </w:r>
      <w:bookmarkStart w:id="0" w:name="_GoBack"/>
      <w:bookmarkEnd w:id="0"/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Bull. </w:t>
      </w:r>
      <w:r w:rsidRPr="00F94C30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>59</w:t>
      </w:r>
      <w:r w:rsidRPr="00F94C30">
        <w:rPr>
          <w:rFonts w:ascii="Calibri" w:eastAsia="Times New Roman" w:hAnsi="Calibri" w:cs="Segoe UI"/>
          <w:color w:val="000000"/>
          <w:sz w:val="24"/>
          <w:szCs w:val="24"/>
        </w:rPr>
        <w:t>(3) (2016), 661–672.</w:t>
      </w:r>
    </w:p>
    <w:p w:rsidR="00F94C30" w:rsidRPr="00F94C30" w:rsidRDefault="00F94C30" w:rsidP="00F94C30">
      <w:pPr>
        <w:jc w:val="both"/>
      </w:pPr>
    </w:p>
    <w:sectPr w:rsidR="00F94C30" w:rsidRPr="00F94C3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6450"/>
    <w:multiLevelType w:val="hybridMultilevel"/>
    <w:tmpl w:val="5F546EC4"/>
    <w:lvl w:ilvl="0" w:tplc="2EC8F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F12B2"/>
    <w:multiLevelType w:val="hybridMultilevel"/>
    <w:tmpl w:val="8F3A2DA4"/>
    <w:lvl w:ilvl="0" w:tplc="F196C4DA"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32FC9"/>
    <w:multiLevelType w:val="hybridMultilevel"/>
    <w:tmpl w:val="F82A0596"/>
    <w:lvl w:ilvl="0" w:tplc="C5003140"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C0125"/>
    <w:multiLevelType w:val="hybridMultilevel"/>
    <w:tmpl w:val="82380CD8"/>
    <w:lvl w:ilvl="0" w:tplc="5498A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C8"/>
    <w:rsid w:val="000132DC"/>
    <w:rsid w:val="00023E16"/>
    <w:rsid w:val="000477AF"/>
    <w:rsid w:val="00080167"/>
    <w:rsid w:val="000D3FE7"/>
    <w:rsid w:val="001B29CE"/>
    <w:rsid w:val="002B2B07"/>
    <w:rsid w:val="003B1D1F"/>
    <w:rsid w:val="003D79A5"/>
    <w:rsid w:val="00425651"/>
    <w:rsid w:val="00502F80"/>
    <w:rsid w:val="00522511"/>
    <w:rsid w:val="005E450F"/>
    <w:rsid w:val="00655C80"/>
    <w:rsid w:val="00685410"/>
    <w:rsid w:val="006937DA"/>
    <w:rsid w:val="006C66EC"/>
    <w:rsid w:val="006E636A"/>
    <w:rsid w:val="00791A7F"/>
    <w:rsid w:val="007E181C"/>
    <w:rsid w:val="00835A48"/>
    <w:rsid w:val="008E5F16"/>
    <w:rsid w:val="00903563"/>
    <w:rsid w:val="009419A6"/>
    <w:rsid w:val="009F5A28"/>
    <w:rsid w:val="00A105D5"/>
    <w:rsid w:val="00A341A4"/>
    <w:rsid w:val="00A47524"/>
    <w:rsid w:val="00A75475"/>
    <w:rsid w:val="00A95C7B"/>
    <w:rsid w:val="00AF6754"/>
    <w:rsid w:val="00B96B81"/>
    <w:rsid w:val="00BE4E62"/>
    <w:rsid w:val="00C50CAB"/>
    <w:rsid w:val="00C81FB8"/>
    <w:rsid w:val="00D434C8"/>
    <w:rsid w:val="00D53804"/>
    <w:rsid w:val="00D61196"/>
    <w:rsid w:val="00D7779D"/>
    <w:rsid w:val="00EB04FB"/>
    <w:rsid w:val="00F56DB5"/>
    <w:rsid w:val="00F9016D"/>
    <w:rsid w:val="00F9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76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15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3" w:color="EAECEE"/>
                            <w:right w:val="none" w:sz="0" w:space="0" w:color="auto"/>
                          </w:divBdr>
                          <w:divsChild>
                            <w:div w:id="29448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47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27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30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290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53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573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0375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1958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4400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22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7537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132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52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0860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7543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4170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4423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8997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925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1560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36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771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475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2868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59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265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586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461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2454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540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81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9333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363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60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86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6837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5714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70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781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8555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1067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0169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61240-3AFD-4E6D-B450-A17AEFF6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Danchev</dc:creator>
  <cp:lastModifiedBy>Peter Danchev</cp:lastModifiedBy>
  <cp:revision>4</cp:revision>
  <dcterms:created xsi:type="dcterms:W3CDTF">2019-01-09T11:39:00Z</dcterms:created>
  <dcterms:modified xsi:type="dcterms:W3CDTF">2019-01-09T11:45:00Z</dcterms:modified>
</cp:coreProperties>
</file>